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89" w:rsidRDefault="0046490B">
      <w:pPr>
        <w:pStyle w:val="ConsNormal"/>
        <w:widowControl/>
        <w:ind w:left="4248" w:firstLine="708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                 Приложение № 3</w:t>
      </w:r>
    </w:p>
    <w:p w:rsidR="00CB1389" w:rsidRDefault="0046490B">
      <w:pPr>
        <w:jc w:val="center"/>
      </w:pPr>
      <w:r>
        <w:t xml:space="preserve">                                                                                              к решению Кирово-Чепецкой</w:t>
      </w:r>
    </w:p>
    <w:p w:rsidR="00CB1389" w:rsidRDefault="0046490B">
      <w:pPr>
        <w:ind w:left="3540" w:firstLine="708"/>
        <w:jc w:val="center"/>
      </w:pPr>
      <w:r>
        <w:t>районной Думы</w:t>
      </w:r>
    </w:p>
    <w:p w:rsidR="00CB1389" w:rsidRDefault="0046490B">
      <w:pPr>
        <w:pStyle w:val="Heading"/>
        <w:tabs>
          <w:tab w:val="left" w:pos="605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от            № </w:t>
      </w:r>
    </w:p>
    <w:p w:rsidR="00CB1389" w:rsidRDefault="00CB1389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:rsidR="00CB1389" w:rsidRDefault="00CB1389">
      <w:pPr>
        <w:pStyle w:val="Heading"/>
        <w:jc w:val="center"/>
        <w:rPr>
          <w:rFonts w:ascii="Times New Roman" w:hAnsi="Times New Roman" w:cs="Times New Roman"/>
          <w:sz w:val="26"/>
          <w:szCs w:val="28"/>
        </w:rPr>
      </w:pPr>
    </w:p>
    <w:p w:rsidR="00CB1389" w:rsidRDefault="0046490B">
      <w:pPr>
        <w:pStyle w:val="Heading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Нормативы </w:t>
      </w:r>
    </w:p>
    <w:p w:rsidR="00CB1389" w:rsidRDefault="0046490B">
      <w:pPr>
        <w:pStyle w:val="Heading"/>
        <w:jc w:val="center"/>
      </w:pPr>
      <w:r>
        <w:rPr>
          <w:rFonts w:ascii="Times New Roman" w:hAnsi="Times New Roman" w:cs="Times New Roman"/>
          <w:sz w:val="26"/>
          <w:szCs w:val="28"/>
        </w:rPr>
        <w:t xml:space="preserve"> распределения доходов в бюджеты сельских поселений                                       Кирово-Чепецкого района на 202</w:t>
      </w:r>
      <w:r w:rsidR="00073F6C">
        <w:rPr>
          <w:rFonts w:ascii="Times New Roman" w:hAnsi="Times New Roman" w:cs="Times New Roman"/>
          <w:sz w:val="26"/>
          <w:szCs w:val="28"/>
        </w:rPr>
        <w:t>5</w:t>
      </w:r>
      <w:r>
        <w:rPr>
          <w:rFonts w:ascii="Times New Roman" w:hAnsi="Times New Roman" w:cs="Times New Roman"/>
          <w:sz w:val="26"/>
          <w:szCs w:val="28"/>
        </w:rPr>
        <w:t xml:space="preserve"> год  и на плановый период 202</w:t>
      </w:r>
      <w:r w:rsidR="00073F6C">
        <w:rPr>
          <w:rFonts w:ascii="Times New Roman" w:hAnsi="Times New Roman" w:cs="Times New Roman"/>
          <w:sz w:val="26"/>
          <w:szCs w:val="28"/>
        </w:rPr>
        <w:t>6</w:t>
      </w:r>
      <w:r>
        <w:rPr>
          <w:rFonts w:ascii="Times New Roman" w:hAnsi="Times New Roman" w:cs="Times New Roman"/>
          <w:sz w:val="26"/>
          <w:szCs w:val="28"/>
        </w:rPr>
        <w:t xml:space="preserve"> и 202</w:t>
      </w:r>
      <w:r w:rsidR="00073F6C">
        <w:rPr>
          <w:rFonts w:ascii="Times New Roman" w:hAnsi="Times New Roman" w:cs="Times New Roman"/>
          <w:sz w:val="26"/>
          <w:szCs w:val="28"/>
        </w:rPr>
        <w:t>7</w:t>
      </w:r>
      <w:r>
        <w:rPr>
          <w:rFonts w:ascii="Times New Roman" w:hAnsi="Times New Roman" w:cs="Times New Roman"/>
          <w:sz w:val="26"/>
          <w:szCs w:val="28"/>
        </w:rPr>
        <w:t xml:space="preserve"> годов</w:t>
      </w:r>
    </w:p>
    <w:p w:rsidR="00CB1389" w:rsidRDefault="00CB1389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88"/>
        <w:gridCol w:w="2082"/>
      </w:tblGrid>
      <w:tr w:rsidR="00CB1389">
        <w:tc>
          <w:tcPr>
            <w:tcW w:w="7488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дохода</w:t>
            </w:r>
          </w:p>
        </w:tc>
        <w:tc>
          <w:tcPr>
            <w:tcW w:w="2082" w:type="dxa"/>
          </w:tcPr>
          <w:p w:rsidR="00CB1389" w:rsidRDefault="0046490B">
            <w:pPr>
              <w:pStyle w:val="22"/>
              <w:jc w:val="center"/>
              <w:rPr>
                <w:sz w:val="24"/>
              </w:rPr>
            </w:pPr>
            <w:r>
              <w:rPr>
                <w:sz w:val="24"/>
              </w:rPr>
              <w:t>Бюджет сельского поселения</w:t>
            </w:r>
          </w:p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(%)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</w:rPr>
            </w:pPr>
            <w:r>
              <w:rPr>
                <w:b/>
              </w:rPr>
              <w:t>ДОХОДЫ ОТ ПОГАШЕНИЯ ЗАДОЛЖЕННОСТИ   И ПЕРЕРАСЧЕТОВ ПО ОТМЕНЕННЫМ НАЛОГАМ, СБОРАМ И ИНЫМ ОБЯЗАТЕЛЬНЫМ ПЛАТЕЖАМ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Доходы от использования имущества, находящегося в оперативном управлении органов  местного  самоуправления сельских поселений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</w:rPr>
            </w:pPr>
            <w: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rPr>
          <w:trHeight w:val="1469"/>
        </w:trPr>
        <w:tc>
          <w:tcPr>
            <w:tcW w:w="7488" w:type="dxa"/>
          </w:tcPr>
          <w:p w:rsidR="00CB1389" w:rsidRDefault="0046490B">
            <w:pPr>
              <w:tabs>
                <w:tab w:val="left" w:pos="1710"/>
              </w:tabs>
              <w:rPr>
                <w:iCs/>
                <w:color w:val="000000"/>
              </w:rPr>
            </w:pPr>
            <w:r>
              <w:t xml:space="preserve">Плата </w:t>
            </w:r>
            <w:proofErr w:type="gramStart"/>
            <w:r>
              <w:t xml:space="preserve">от реализации соглашений об установлении сервитутов </w:t>
            </w:r>
            <w:r>
              <w:br w:type="textWrapping" w:clear="all"/>
              <w:t>в отношении земельных участков в границах полос отвода автомобильных дорог местного значения в целях</w:t>
            </w:r>
            <w:proofErr w:type="gramEnd"/>
            <w:r>
              <w:t xml:space="preserve">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rPr>
          <w:trHeight w:val="1150"/>
        </w:trPr>
        <w:tc>
          <w:tcPr>
            <w:tcW w:w="7488" w:type="dxa"/>
          </w:tcPr>
          <w:p w:rsidR="00CB1389" w:rsidRDefault="0046490B">
            <w:pPr>
              <w:tabs>
                <w:tab w:val="left" w:pos="1710"/>
              </w:tabs>
            </w:pPr>
            <w:r>
              <w:rPr>
                <w:iCs/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 бюджетных и автономных учреждений, а также имущества муниципальных унитарных предприятий, в том числе казенных)</w:t>
            </w:r>
            <w:r>
              <w:tab/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</w:rPr>
            </w:pPr>
            <w:proofErr w:type="gramStart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color w:val="000000"/>
              </w:rPr>
            </w:pPr>
            <w:r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информационно-консультационных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самоуправления, казенными учреждениями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color w:val="000000"/>
              </w:rPr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bCs/>
                <w:color w:val="000000"/>
              </w:rPr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Средства от распоряжения и реализации выморочного имущества, обращенного в собственность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ДОХОДЫ ОТ АДМИНИСТРАТИВНЫХ ПЛАТЕЖЕЙ И СБОРОВ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bCs/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r>
              <w:rPr>
                <w:b/>
              </w:rPr>
              <w:t>ДОХОДЫ ОТ ШТРАФОВ, САНКЦИЙ, ВОЗМЕЩЕНИЯ УЩЕРБА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bCs/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r>
              <w:t>Платежи в целях возмещения ущерба при расторжении муниципального контракта, заключенного с муниципальным органом поселения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bCs/>
                <w:color w:val="000000"/>
              </w:rPr>
            </w:pPr>
            <w: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roofErr w:type="gramStart"/>
            <w:r>
              <w:t>Платежи в целях возмещения убытков, причиненных уклонением от заключения с  муниципальным органом местного самоуправления сельского поселения 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 ПРОЧИХ НЕНАЛОГОВЫХ ДОХОДОВ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</w:tr>
      <w:tr w:rsidR="00CB1389">
        <w:tc>
          <w:tcPr>
            <w:tcW w:w="7488" w:type="dxa"/>
          </w:tcPr>
          <w:p w:rsidR="00CB1389" w:rsidRDefault="0046490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самообложения граждан, инициативные платежи,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зачисляемые в бюджеты сельских поселений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</w:t>
            </w:r>
          </w:p>
        </w:tc>
      </w:tr>
      <w:tr w:rsidR="00CB1389">
        <w:trPr>
          <w:trHeight w:val="140"/>
        </w:trPr>
        <w:tc>
          <w:tcPr>
            <w:tcW w:w="7488" w:type="dxa"/>
          </w:tcPr>
          <w:p w:rsidR="00CB1389" w:rsidRDefault="0046490B">
            <w:pPr>
              <w:rPr>
                <w:b/>
                <w:color w:val="000000"/>
              </w:rPr>
            </w:pPr>
            <w:r>
              <w:rPr>
                <w:b/>
              </w:rPr>
              <w:lastRenderedPageBreak/>
              <w:t>ДОХОДЫ ОТ БЕЗВОЗМЕЗДНЫХ ПОСТУПЛЕНИЙ</w:t>
            </w:r>
          </w:p>
        </w:tc>
        <w:tc>
          <w:tcPr>
            <w:tcW w:w="2082" w:type="dxa"/>
          </w:tcPr>
          <w:p w:rsidR="00CB1389" w:rsidRDefault="00CB1389">
            <w:pPr>
              <w:jc w:val="center"/>
              <w:rPr>
                <w:color w:val="000000"/>
                <w:lang w:val="en-US"/>
              </w:rPr>
            </w:pPr>
          </w:p>
        </w:tc>
      </w:tr>
      <w:tr w:rsidR="00CB1389">
        <w:tc>
          <w:tcPr>
            <w:tcW w:w="7488" w:type="dxa"/>
          </w:tcPr>
          <w:p w:rsidR="00CB1389" w:rsidRDefault="0046490B">
            <w:pPr>
              <w:rPr>
                <w:color w:val="000000"/>
              </w:rPr>
            </w:pPr>
            <w:r>
              <w:t>Доходы от возврата остатков субсидий, предоставленных из бюджетов сельских поселений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      </w:r>
          </w:p>
        </w:tc>
        <w:tc>
          <w:tcPr>
            <w:tcW w:w="2082" w:type="dxa"/>
          </w:tcPr>
          <w:p w:rsidR="00CB1389" w:rsidRDefault="004649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CB1389" w:rsidRDefault="00CB138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B1389" w:rsidRDefault="00CB138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B1389" w:rsidRDefault="00CB138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B1389" w:rsidRDefault="0046490B">
      <w:pPr>
        <w:jc w:val="center"/>
      </w:pPr>
      <w:r>
        <w:t>____________</w:t>
      </w:r>
    </w:p>
    <w:sectPr w:rsidR="00CB1389" w:rsidSect="00CB1389">
      <w:headerReference w:type="even" r:id="rId6"/>
      <w:headerReference w:type="default" r:id="rId7"/>
      <w:pgSz w:w="11906" w:h="16838"/>
      <w:pgMar w:top="1134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389" w:rsidRDefault="0046490B">
      <w:r>
        <w:separator/>
      </w:r>
    </w:p>
  </w:endnote>
  <w:endnote w:type="continuationSeparator" w:id="0">
    <w:p w:rsidR="00CB1389" w:rsidRDefault="0046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389" w:rsidRDefault="0046490B">
      <w:r>
        <w:separator/>
      </w:r>
    </w:p>
  </w:footnote>
  <w:footnote w:type="continuationSeparator" w:id="0">
    <w:p w:rsidR="00CB1389" w:rsidRDefault="00464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89" w:rsidRDefault="00B06A16">
    <w:pPr>
      <w:pStyle w:val="af7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46490B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B1389" w:rsidRDefault="00CB1389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89" w:rsidRDefault="00B06A16">
    <w:pPr>
      <w:pStyle w:val="af7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46490B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073F6C">
      <w:rPr>
        <w:rStyle w:val="af8"/>
        <w:noProof/>
      </w:rPr>
      <w:t>2</w:t>
    </w:r>
    <w:r>
      <w:rPr>
        <w:rStyle w:val="af8"/>
      </w:rPr>
      <w:fldChar w:fldCharType="end"/>
    </w:r>
  </w:p>
  <w:p w:rsidR="00CB1389" w:rsidRDefault="00CB1389">
    <w:pPr>
      <w:pStyle w:val="af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389"/>
    <w:rsid w:val="00073F6C"/>
    <w:rsid w:val="0046490B"/>
    <w:rsid w:val="00B06A16"/>
    <w:rsid w:val="00CB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8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B138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B138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B138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B138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B138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B138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B138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B138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B138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B138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B138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B138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B138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B138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B138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B138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B138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B138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B1389"/>
    <w:pPr>
      <w:ind w:left="720"/>
      <w:contextualSpacing/>
    </w:pPr>
  </w:style>
  <w:style w:type="paragraph" w:styleId="a4">
    <w:name w:val="No Spacing"/>
    <w:uiPriority w:val="1"/>
    <w:qFormat/>
    <w:rsid w:val="00CB1389"/>
  </w:style>
  <w:style w:type="paragraph" w:styleId="a5">
    <w:name w:val="Title"/>
    <w:basedOn w:val="a"/>
    <w:next w:val="a"/>
    <w:link w:val="a6"/>
    <w:uiPriority w:val="10"/>
    <w:qFormat/>
    <w:rsid w:val="00CB138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B138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B138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B138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B138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B138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B13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B138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B138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B1389"/>
  </w:style>
  <w:style w:type="paragraph" w:customStyle="1" w:styleId="Footer">
    <w:name w:val="Footer"/>
    <w:basedOn w:val="a"/>
    <w:link w:val="CaptionChar"/>
    <w:uiPriority w:val="99"/>
    <w:unhideWhenUsed/>
    <w:rsid w:val="00CB138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B138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B138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B1389"/>
  </w:style>
  <w:style w:type="table" w:styleId="ab">
    <w:name w:val="Table Grid"/>
    <w:uiPriority w:val="59"/>
    <w:rsid w:val="00CB13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B138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B138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B138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B13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B138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B138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B138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B138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B138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B138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CB138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B138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B1389"/>
    <w:rPr>
      <w:sz w:val="18"/>
    </w:rPr>
  </w:style>
  <w:style w:type="character" w:styleId="af">
    <w:name w:val="footnote reference"/>
    <w:uiPriority w:val="99"/>
    <w:unhideWhenUsed/>
    <w:rsid w:val="00CB138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B138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B1389"/>
    <w:rPr>
      <w:sz w:val="20"/>
    </w:rPr>
  </w:style>
  <w:style w:type="character" w:styleId="af2">
    <w:name w:val="endnote reference"/>
    <w:uiPriority w:val="99"/>
    <w:semiHidden/>
    <w:unhideWhenUsed/>
    <w:rsid w:val="00CB138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B1389"/>
    <w:pPr>
      <w:spacing w:after="57"/>
    </w:pPr>
  </w:style>
  <w:style w:type="paragraph" w:styleId="21">
    <w:name w:val="toc 2"/>
    <w:basedOn w:val="a"/>
    <w:next w:val="a"/>
    <w:uiPriority w:val="39"/>
    <w:unhideWhenUsed/>
    <w:rsid w:val="00CB138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B138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B138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B138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B138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B138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B138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B1389"/>
    <w:pPr>
      <w:spacing w:after="57"/>
      <w:ind w:left="2268"/>
    </w:pPr>
  </w:style>
  <w:style w:type="paragraph" w:styleId="af3">
    <w:name w:val="TOC Heading"/>
    <w:uiPriority w:val="39"/>
    <w:unhideWhenUsed/>
    <w:rsid w:val="00CB1389"/>
  </w:style>
  <w:style w:type="paragraph" w:styleId="af4">
    <w:name w:val="table of figures"/>
    <w:basedOn w:val="a"/>
    <w:next w:val="a"/>
    <w:uiPriority w:val="99"/>
    <w:unhideWhenUsed/>
    <w:rsid w:val="00CB1389"/>
  </w:style>
  <w:style w:type="character" w:customStyle="1" w:styleId="af5">
    <w:name w:val="Основной шрифт абзаца;Знак Знак"/>
    <w:link w:val="UserStyle0"/>
    <w:semiHidden/>
    <w:rsid w:val="00CB1389"/>
  </w:style>
  <w:style w:type="paragraph" w:styleId="af6">
    <w:name w:val="Body Text Indent"/>
    <w:basedOn w:val="a"/>
    <w:rsid w:val="00CB1389"/>
    <w:pPr>
      <w:ind w:firstLine="708"/>
      <w:jc w:val="both"/>
    </w:pPr>
    <w:rPr>
      <w:sz w:val="26"/>
      <w:szCs w:val="20"/>
    </w:rPr>
  </w:style>
  <w:style w:type="paragraph" w:customStyle="1" w:styleId="ConsNormal">
    <w:name w:val="ConsNormal"/>
    <w:rsid w:val="00CB1389"/>
    <w:pPr>
      <w:widowControl w:val="0"/>
      <w:ind w:firstLine="720"/>
    </w:pPr>
    <w:rPr>
      <w:rFonts w:ascii="Arial" w:hAnsi="Arial"/>
      <w:sz w:val="18"/>
      <w:lang w:eastAsia="ru-RU"/>
    </w:rPr>
  </w:style>
  <w:style w:type="paragraph" w:customStyle="1" w:styleId="Heading">
    <w:name w:val="Heading"/>
    <w:rsid w:val="00CB1389"/>
    <w:rPr>
      <w:rFonts w:ascii="Arial" w:hAnsi="Arial" w:cs="Arial"/>
      <w:b/>
      <w:bCs/>
      <w:sz w:val="22"/>
      <w:szCs w:val="22"/>
      <w:lang w:eastAsia="ru-RU"/>
    </w:rPr>
  </w:style>
  <w:style w:type="paragraph" w:styleId="22">
    <w:name w:val="Body Text 2"/>
    <w:basedOn w:val="a"/>
    <w:rsid w:val="00CB1389"/>
    <w:pPr>
      <w:jc w:val="right"/>
    </w:pPr>
    <w:rPr>
      <w:sz w:val="26"/>
      <w:szCs w:val="20"/>
    </w:rPr>
  </w:style>
  <w:style w:type="paragraph" w:styleId="af7">
    <w:name w:val="header"/>
    <w:basedOn w:val="a"/>
    <w:rsid w:val="00CB1389"/>
    <w:pPr>
      <w:tabs>
        <w:tab w:val="center" w:pos="4677"/>
        <w:tab w:val="right" w:pos="9355"/>
      </w:tabs>
    </w:pPr>
  </w:style>
  <w:style w:type="character" w:styleId="af8">
    <w:name w:val="page number"/>
    <w:basedOn w:val="af5"/>
    <w:rsid w:val="00CB1389"/>
  </w:style>
  <w:style w:type="paragraph" w:styleId="af9">
    <w:name w:val="Balloon Text"/>
    <w:basedOn w:val="a"/>
    <w:semiHidden/>
    <w:rsid w:val="00CB13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1389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CB1389"/>
    <w:pPr>
      <w:widowControl w:val="0"/>
    </w:pPr>
    <w:rPr>
      <w:rFonts w:ascii="Courier New" w:hAnsi="Courier New" w:cs="Courier New"/>
      <w:lang w:eastAsia="ru-RU"/>
    </w:rPr>
  </w:style>
  <w:style w:type="paragraph" w:customStyle="1" w:styleId="UserStyle0">
    <w:name w:val="UserStyle_0"/>
    <w:basedOn w:val="a"/>
    <w:link w:val="af5"/>
    <w:rsid w:val="00CB13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809</Words>
  <Characters>4615</Characters>
  <Application>Microsoft Office Word</Application>
  <DocSecurity>0</DocSecurity>
  <Lines>38</Lines>
  <Paragraphs>10</Paragraphs>
  <ScaleCrop>false</ScaleCrop>
  <Company>Райфо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Селюнина Татьяна Викторовна</dc:creator>
  <cp:lastModifiedBy>User</cp:lastModifiedBy>
  <cp:revision>3</cp:revision>
  <cp:lastPrinted>2024-11-15T07:42:00Z</cp:lastPrinted>
  <dcterms:created xsi:type="dcterms:W3CDTF">2024-11-14T08:53:00Z</dcterms:created>
  <dcterms:modified xsi:type="dcterms:W3CDTF">2024-11-15T07:43:00Z</dcterms:modified>
  <cp:version>726502</cp:version>
</cp:coreProperties>
</file>